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503F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eastAsia="方正小标宋简体"/>
          <w:color w:val="auto"/>
          <w:sz w:val="30"/>
          <w:szCs w:val="3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color w:val="auto"/>
          <w:sz w:val="44"/>
          <w:szCs w:val="44"/>
        </w:rPr>
        <w:t>技术</w:t>
      </w:r>
      <w:r>
        <w:rPr>
          <w:rFonts w:hint="eastAsia" w:ascii="方正小标宋简体" w:hAnsi="方正小标宋简体" w:eastAsia="方正小标宋简体" w:cs="方正小标宋简体"/>
          <w:b/>
          <w:color w:val="auto"/>
          <w:sz w:val="44"/>
          <w:szCs w:val="44"/>
          <w:lang w:val="en-US" w:eastAsia="zh-CN"/>
        </w:rPr>
        <w:t>参数</w:t>
      </w:r>
    </w:p>
    <w:p w14:paraId="559CD1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</w:rPr>
      </w:pPr>
    </w:p>
    <w:p w14:paraId="4EED05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系统应包括财务科研管理系统及高校科研管理系统接口功能，实现财务与科研数据互通共享。</w:t>
      </w:r>
    </w:p>
    <w:p w14:paraId="60469D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一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财务科研管理系统</w:t>
      </w:r>
    </w:p>
    <w:p w14:paraId="13FBEC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outlineLvl w:val="9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系统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包括</w:t>
      </w:r>
      <w:r>
        <w:rPr>
          <w:rFonts w:hint="eastAsia" w:ascii="仿宋" w:hAnsi="仿宋" w:eastAsia="仿宋" w:cs="仿宋"/>
          <w:sz w:val="30"/>
          <w:szCs w:val="30"/>
        </w:rPr>
        <w:t>科研立项、科研经费分配、经费到款、财务经费拨款、凭证制单、科研决算报表、项目结题、项目额度控制及信息统计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功能。</w:t>
      </w:r>
    </w:p>
    <w:p w14:paraId="5FB8EC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应该实现以</w:t>
      </w:r>
      <w:r>
        <w:rPr>
          <w:rFonts w:hint="eastAsia" w:ascii="仿宋" w:hAnsi="仿宋" w:eastAsia="仿宋" w:cs="仿宋"/>
          <w:sz w:val="30"/>
          <w:szCs w:val="30"/>
        </w:rPr>
        <w:t>下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功能</w:t>
      </w:r>
      <w:r>
        <w:rPr>
          <w:rFonts w:hint="eastAsia" w:ascii="仿宋" w:hAnsi="仿宋" w:eastAsia="仿宋" w:cs="仿宋"/>
          <w:sz w:val="30"/>
          <w:szCs w:val="30"/>
        </w:rPr>
        <w:t>：</w:t>
      </w:r>
    </w:p>
    <w:p w14:paraId="70D82C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1.</w:t>
      </w:r>
      <w:r>
        <w:rPr>
          <w:rFonts w:hint="eastAsia" w:ascii="仿宋" w:hAnsi="仿宋" w:eastAsia="仿宋" w:cs="仿宋"/>
          <w:sz w:val="30"/>
          <w:szCs w:val="30"/>
        </w:rPr>
        <w:t>项目管理</w:t>
      </w:r>
    </w:p>
    <w:p w14:paraId="0187071D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firstLine="300" w:firstLineChars="1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sz w:val="30"/>
          <w:szCs w:val="30"/>
        </w:rPr>
        <w:t>科研项目立项</w:t>
      </w:r>
    </w:p>
    <w:p w14:paraId="2C24A7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ind w:firstLine="600" w:firstLineChars="200"/>
        <w:contextualSpacing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用于科研项目的增删改、导入、导出等操作。立项信息应包含项目编号、项目名称、项目起止日期、总金额、课题类别、来源编号、项目类别编号、负责人编号、额度部门编号、是否财政、财政预算指标等信息。</w:t>
      </w:r>
    </w:p>
    <w:p w14:paraId="036B495C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360" w:lineRule="auto"/>
        <w:ind w:firstLine="300" w:firstLineChars="1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sz w:val="30"/>
          <w:szCs w:val="30"/>
        </w:rPr>
        <w:t>项目列表立项</w:t>
      </w:r>
    </w:p>
    <w:p w14:paraId="017214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用于财务基础数据的归集，按其项目大类进行归集，将“科研项目”以及“专项项目”划分出来，进行其项目属性信息的管理，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可</w:t>
      </w:r>
      <w:r>
        <w:rPr>
          <w:rFonts w:hint="eastAsia" w:ascii="仿宋" w:hAnsi="仿宋" w:eastAsia="仿宋" w:cs="仿宋"/>
          <w:sz w:val="30"/>
          <w:szCs w:val="30"/>
        </w:rPr>
        <w:t>批量设置财务项目和科研项目的绑定，以及财务项目与结题模版编号的关联。可设置项目预算，支持定额控制和比例控制两种额度控制模式。</w:t>
      </w:r>
    </w:p>
    <w:p w14:paraId="271BC021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360" w:lineRule="auto"/>
        <w:ind w:firstLine="300" w:firstLineChars="1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sz w:val="30"/>
          <w:szCs w:val="30"/>
        </w:rPr>
        <w:t>综合查询</w:t>
      </w:r>
    </w:p>
    <w:p w14:paraId="7F88CF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ind w:firstLine="42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项目综合分析：此功能用于财务项目信息的综合查询；</w:t>
      </w:r>
    </w:p>
    <w:p w14:paraId="6D3645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ind w:firstLine="42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科研项目综合分析：此功能用于科研项目信息的综合查询。</w:t>
      </w:r>
    </w:p>
    <w:p w14:paraId="474905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ind w:firstLine="422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2.</w:t>
      </w:r>
      <w:r>
        <w:rPr>
          <w:rFonts w:hint="eastAsia" w:ascii="仿宋" w:hAnsi="仿宋" w:eastAsia="仿宋" w:cs="仿宋"/>
          <w:sz w:val="30"/>
          <w:szCs w:val="30"/>
        </w:rPr>
        <w:t>预算管理</w:t>
      </w:r>
    </w:p>
    <w:p w14:paraId="0090C5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ind w:firstLine="42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包括项目额度字典设置、项目预算/额度控制的设置和初始化、项目额度的追加录入与复核、科研项目预算管理以及相关的报表查询功能。</w:t>
      </w:r>
    </w:p>
    <w:p w14:paraId="68494718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360" w:lineRule="auto"/>
        <w:ind w:firstLine="300" w:firstLineChars="1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sz w:val="30"/>
          <w:szCs w:val="30"/>
        </w:rPr>
        <w:t>项目额度字典设置</w:t>
      </w:r>
    </w:p>
    <w:p w14:paraId="67A261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ind w:firstLine="42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根据额度分类可录入额度控制信息以及额度与科目（包含对应的经济分类科目）的对应关系，额度信息根据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学校</w:t>
      </w:r>
      <w:r>
        <w:rPr>
          <w:rFonts w:hint="eastAsia" w:ascii="仿宋" w:hAnsi="仿宋" w:eastAsia="仿宋" w:cs="仿宋"/>
          <w:sz w:val="30"/>
          <w:szCs w:val="30"/>
        </w:rPr>
        <w:t>自身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设定</w:t>
      </w:r>
      <w:r>
        <w:rPr>
          <w:rFonts w:hint="eastAsia" w:ascii="仿宋" w:hAnsi="仿宋" w:eastAsia="仿宋" w:cs="仿宋"/>
          <w:sz w:val="30"/>
          <w:szCs w:val="30"/>
        </w:rPr>
        <w:t>，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并且</w:t>
      </w:r>
      <w:r>
        <w:rPr>
          <w:rFonts w:hint="eastAsia" w:ascii="仿宋" w:hAnsi="仿宋" w:eastAsia="仿宋" w:cs="仿宋"/>
          <w:sz w:val="30"/>
          <w:szCs w:val="30"/>
        </w:rPr>
        <w:t>对照科目绑定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</w:t>
      </w:r>
      <w:r>
        <w:rPr>
          <w:rFonts w:hint="eastAsia" w:ascii="仿宋" w:hAnsi="仿宋" w:eastAsia="仿宋" w:cs="仿宋"/>
          <w:sz w:val="30"/>
          <w:szCs w:val="30"/>
        </w:rPr>
        <w:t xml:space="preserve"> </w:t>
      </w:r>
    </w:p>
    <w:p w14:paraId="0D88984A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360" w:lineRule="auto"/>
        <w:ind w:firstLine="300" w:firstLineChars="1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sz w:val="30"/>
          <w:szCs w:val="30"/>
        </w:rPr>
        <w:t>项目预算/额度控制的设置和初始化</w:t>
      </w:r>
    </w:p>
    <w:p w14:paraId="6E7969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ind w:firstLine="42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用于财务项目与额度控制基础信息的绑定或关联，以及额度的录入工作，可单一或批量增加额度控制信息。同时支持每个额度控制项的“浮动比例控制”以及“分配比例”，可同时进行控制额度。</w:t>
      </w:r>
    </w:p>
    <w:p w14:paraId="5A02889A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360" w:lineRule="auto"/>
        <w:ind w:firstLine="300" w:firstLineChars="1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sz w:val="30"/>
          <w:szCs w:val="30"/>
        </w:rPr>
        <w:t>项目额度的追加录入与复核</w:t>
      </w:r>
    </w:p>
    <w:p w14:paraId="6EB17D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ind w:firstLine="42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用于项目预算的追加录入及复核/取消复核。</w:t>
      </w:r>
    </w:p>
    <w:p w14:paraId="305715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ind w:firstLine="300" w:firstLineChars="1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4</w:t>
      </w:r>
      <w:r>
        <w:rPr>
          <w:rFonts w:hint="eastAsia" w:ascii="仿宋" w:hAnsi="仿宋" w:eastAsia="仿宋" w:cs="仿宋"/>
          <w:sz w:val="30"/>
          <w:szCs w:val="30"/>
        </w:rPr>
        <w:t>）费用管理</w:t>
      </w:r>
    </w:p>
    <w:p w14:paraId="543742F3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项目费用字典设置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：</w:t>
      </w:r>
      <w:r>
        <w:rPr>
          <w:rFonts w:hint="eastAsia" w:ascii="仿宋" w:hAnsi="仿宋" w:eastAsia="仿宋" w:cs="仿宋"/>
          <w:sz w:val="30"/>
          <w:szCs w:val="30"/>
        </w:rPr>
        <w:t>用于定义项目费用的名称及编号等信息。</w:t>
      </w:r>
    </w:p>
    <w:p w14:paraId="44D04920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360" w:lineRule="auto"/>
        <w:ind w:leftChars="0"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项目费用模板定义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：</w:t>
      </w:r>
      <w:r>
        <w:rPr>
          <w:rFonts w:hint="eastAsia" w:ascii="仿宋" w:hAnsi="仿宋" w:eastAsia="仿宋" w:cs="仿宋"/>
          <w:sz w:val="30"/>
          <w:szCs w:val="30"/>
        </w:rPr>
        <w:t>此功能用于针对不同的项目类型，定义其费用分配模板，并设置费用提取比例。</w:t>
      </w:r>
    </w:p>
    <w:p w14:paraId="17424833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360" w:lineRule="auto"/>
        <w:ind w:leftChars="0"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项目费用管理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：</w:t>
      </w:r>
      <w:r>
        <w:rPr>
          <w:rFonts w:hint="eastAsia" w:ascii="仿宋" w:hAnsi="仿宋" w:eastAsia="仿宋" w:cs="仿宋"/>
          <w:sz w:val="30"/>
          <w:szCs w:val="30"/>
        </w:rPr>
        <w:t>用于按照费用模板提取相应的费用，支持项目费用的单个提取或者批量提取。可对已提取的费用信息，选择相应的模板生成项目费用凭证。</w:t>
      </w:r>
    </w:p>
    <w:p w14:paraId="6FE5EDB7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360" w:lineRule="auto"/>
        <w:ind w:leftChars="0"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费用相关查询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：</w:t>
      </w:r>
      <w:r>
        <w:rPr>
          <w:rFonts w:hint="eastAsia" w:ascii="仿宋" w:hAnsi="仿宋" w:eastAsia="仿宋" w:cs="仿宋"/>
          <w:sz w:val="30"/>
          <w:szCs w:val="30"/>
        </w:rPr>
        <w:t>系统提供费用相关的查询功能，包括：科研项目费用提取明细查询、科研项目费用提取汇总查询等。</w:t>
      </w:r>
    </w:p>
    <w:p w14:paraId="5D309D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ind w:firstLine="422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（5）项目执行</w:t>
      </w:r>
    </w:p>
    <w:p w14:paraId="5A980A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ind w:firstLine="42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包含项目经费执行情况表、科研项目余额表、收支明细账和经费执行情况表在内的多种功能。</w:t>
      </w:r>
    </w:p>
    <w:p w14:paraId="3A7940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ind w:firstLine="422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（6）结题决算</w:t>
      </w:r>
    </w:p>
    <w:p w14:paraId="5AEF44CF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360" w:lineRule="auto"/>
        <w:ind w:leftChars="0"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决算模板设置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：</w:t>
      </w:r>
      <w:r>
        <w:rPr>
          <w:rFonts w:hint="eastAsia" w:ascii="仿宋" w:hAnsi="仿宋" w:eastAsia="仿宋" w:cs="仿宋"/>
          <w:sz w:val="30"/>
          <w:szCs w:val="30"/>
        </w:rPr>
        <w:t>可自定义决算模板，设置各个模板下的决算科目，并绑定会计科目和相应的经济分类科目。</w:t>
      </w:r>
    </w:p>
    <w:p w14:paraId="2EDEA2D5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360" w:lineRule="auto"/>
        <w:ind w:leftChars="0"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项目结题管理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：</w:t>
      </w:r>
      <w:r>
        <w:rPr>
          <w:rFonts w:hint="eastAsia" w:ascii="仿宋" w:hAnsi="仿宋" w:eastAsia="仿宋" w:cs="仿宋"/>
          <w:sz w:val="30"/>
          <w:szCs w:val="30"/>
        </w:rPr>
        <w:t>科研项目结题管理：用于科研项目的结题、取消结题等操作；项目结题管理：用于财务项目的结题、取消结题等操作。</w:t>
      </w:r>
    </w:p>
    <w:p w14:paraId="5853B1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ind w:firstLine="422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（7）报表统计</w:t>
      </w:r>
    </w:p>
    <w:p w14:paraId="377C0A13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系统应提供多种维度的科研相关报表，包括科研收入明细表/汇总表、科研项目额度控制表、科研项目预算收入支出明细/汇总表、科研项目预算支出进度表、项目属性预算统计表等。与核算科目进行绑定，后期统计表会根据用户自定义的列设置、行设置（过滤的项目结果集）实时自动取数。</w:t>
      </w:r>
    </w:p>
    <w:p w14:paraId="21D9D8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二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财务系统与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高校科研管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理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系统接口</w:t>
      </w:r>
    </w:p>
    <w:p w14:paraId="5263A4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firstLine="42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应该实现以</w:t>
      </w:r>
      <w:r>
        <w:rPr>
          <w:rFonts w:hint="eastAsia" w:ascii="仿宋" w:hAnsi="仿宋" w:eastAsia="仿宋" w:cs="仿宋"/>
          <w:sz w:val="30"/>
          <w:szCs w:val="30"/>
        </w:rPr>
        <w:t>下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功能</w:t>
      </w:r>
      <w:r>
        <w:rPr>
          <w:rFonts w:hint="eastAsia" w:ascii="仿宋" w:hAnsi="仿宋" w:eastAsia="仿宋" w:cs="仿宋"/>
          <w:sz w:val="30"/>
          <w:szCs w:val="30"/>
        </w:rPr>
        <w:t>：</w:t>
      </w:r>
    </w:p>
    <w:p w14:paraId="15533B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firstLine="42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（1）立项业务</w:t>
      </w:r>
    </w:p>
    <w:p w14:paraId="171E83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firstLine="42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包括科研项目立项、项目额度、费用提取、收入入账、外拨经费等明细数据。财务系统通常采用“款到立项”，当项目到款后，到款明细被推送到科研系统，科研部门确认具体项目收入，财务系统接收后，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可完成</w:t>
      </w:r>
      <w:r>
        <w:rPr>
          <w:rFonts w:hint="eastAsia" w:ascii="仿宋" w:hAnsi="仿宋" w:eastAsia="仿宋" w:cs="仿宋"/>
          <w:sz w:val="30"/>
          <w:szCs w:val="30"/>
        </w:rPr>
        <w:t>项目立项、增加额度、收入凭证、提管理费等一系列工作。</w:t>
      </w:r>
    </w:p>
    <w:p w14:paraId="59B1177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firstLine="42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经费变动</w:t>
      </w:r>
    </w:p>
    <w:p w14:paraId="45B4C9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firstLine="42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通过接口接收科研系统数据，自动完成预算数据调整。</w:t>
      </w:r>
    </w:p>
    <w:p w14:paraId="7937C46A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Chars="0"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预算调整：项目内部的额度调整。</w:t>
      </w:r>
    </w:p>
    <w:p w14:paraId="00F54115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Chars="0"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收入调整：项目间的收入调整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仿宋"/>
          <w:sz w:val="30"/>
          <w:szCs w:val="30"/>
        </w:rPr>
        <w:t>同时会连带着费用一起调整，也包括项目间的额度调整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</w:t>
      </w:r>
    </w:p>
    <w:p w14:paraId="4FA86C20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Chars="0"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外拨经费：将到款的科研经费按合同外拨到其他校外单位。</w:t>
      </w:r>
    </w:p>
    <w:p w14:paraId="42127A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firstLine="42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（3）凭证模版</w:t>
      </w:r>
    </w:p>
    <w:p w14:paraId="512507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firstLine="42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系统应支持科研业务凭证模板设置，支持自定义参数，可按不同的科研业务分别设置不同的凭证模板，模板内容应包括摘要的生成方式、借贷方向、金额计算方式、科目编号、经济分类科目编号、部门编号、项目编号等。</w:t>
      </w:r>
    </w:p>
    <w:p w14:paraId="7CD4D8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ind w:firstLine="600" w:firstLineChars="200"/>
        <w:contextualSpacing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业务类型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：</w:t>
      </w:r>
      <w:r>
        <w:rPr>
          <w:rFonts w:hint="eastAsia" w:ascii="仿宋" w:hAnsi="仿宋" w:eastAsia="仿宋" w:cs="仿宋"/>
          <w:sz w:val="30"/>
          <w:szCs w:val="30"/>
        </w:rPr>
        <w:t>支持项目立项、项目预算调整、项目收入调整、项目外拨、项目结项结转、项目结题、项目负责人变更、项目部门变更等多种业务。</w:t>
      </w:r>
    </w:p>
    <w:p w14:paraId="1358F2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ind w:firstLine="600" w:firstLineChars="200"/>
        <w:contextualSpacing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变量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：</w:t>
      </w:r>
      <w:r>
        <w:rPr>
          <w:rFonts w:hint="eastAsia" w:ascii="仿宋" w:hAnsi="仿宋" w:eastAsia="仿宋" w:cs="仿宋"/>
          <w:sz w:val="30"/>
          <w:szCs w:val="30"/>
        </w:rPr>
        <w:t>不同的业务类型支持不同的变量，用户可查看各个业务类型下可用的变量。</w:t>
      </w:r>
    </w:p>
    <w:p w14:paraId="51CB16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ind w:firstLine="600" w:firstLineChars="200"/>
        <w:contextualSpacing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计算公式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：</w:t>
      </w:r>
      <w:r>
        <w:rPr>
          <w:rFonts w:hint="eastAsia" w:ascii="仿宋" w:hAnsi="仿宋" w:eastAsia="仿宋" w:cs="仿宋"/>
          <w:sz w:val="30"/>
          <w:szCs w:val="30"/>
        </w:rPr>
        <w:t>系统支持根据变量以及运算符号设置符合用户需求的计算公式。</w:t>
      </w:r>
    </w:p>
    <w:p w14:paraId="5FEE38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ind w:firstLine="600" w:firstLineChars="200"/>
        <w:contextualSpacing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分录类型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：</w:t>
      </w:r>
      <w:r>
        <w:rPr>
          <w:rFonts w:hint="eastAsia" w:ascii="仿宋" w:hAnsi="仿宋" w:eastAsia="仿宋" w:cs="仿宋"/>
          <w:sz w:val="30"/>
          <w:szCs w:val="30"/>
        </w:rPr>
        <w:t>系统应内置凭证模板的分录类型，不同的分录类型在系统内对应不同的业务处理方式，系统根据所设置的分录类型自动进行业务处理。分录类型包括外拨分录、收入确认分录等。</w:t>
      </w:r>
    </w:p>
    <w:p w14:paraId="2D52E9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ind w:firstLine="600" w:firstLineChars="200"/>
        <w:contextualSpacing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4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sz w:val="30"/>
          <w:szCs w:val="30"/>
        </w:rPr>
        <w:t>间接费用自动提取</w:t>
      </w:r>
    </w:p>
    <w:p w14:paraId="66BA77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ind w:firstLine="600" w:firstLineChars="200"/>
        <w:contextualSpacing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系统应支持通过接口对接实现科研项目间接费用的接收，再根据凭证模板系统自动生成间接费用的凭证分录，实现间接费用的自动提取。</w:t>
      </w:r>
    </w:p>
    <w:p w14:paraId="1A1A57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ind w:firstLine="600" w:firstLineChars="200"/>
        <w:contextualSpacing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5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sz w:val="30"/>
          <w:szCs w:val="30"/>
        </w:rPr>
        <w:t>外拨业务</w:t>
      </w:r>
    </w:p>
    <w:p w14:paraId="5DF6E7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ind w:firstLine="600" w:firstLineChars="200"/>
        <w:contextualSpacing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系统应支持通过接口对接实现科研项目外拨业务数据的接收，再根据凭证模板系统自动生成外拨业务的凭证分录，实现外拨业务凭证的自动生成。</w:t>
      </w:r>
    </w:p>
    <w:p w14:paraId="0786A1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ind w:firstLine="600" w:firstLineChars="200"/>
        <w:contextualSpacing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sz w:val="30"/>
          <w:szCs w:val="30"/>
        </w:rPr>
        <w:t>预收转收入</w:t>
      </w:r>
    </w:p>
    <w:p w14:paraId="37266F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ind w:firstLine="600" w:firstLineChars="200"/>
        <w:contextualSpacing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账务系统在来款时先将来款转为预收，系统提供预收转收入功能，根据部门、项目等条件检索匹配相关的预收和支出记录，系统自动完成相关数据的校验，冲销预收科目、转入收入科目、自动生成凭证。</w:t>
      </w:r>
    </w:p>
    <w:p w14:paraId="7C9C7C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7</w:t>
      </w:r>
      <w:r>
        <w:rPr>
          <w:rFonts w:hint="eastAsia" w:ascii="仿宋" w:hAnsi="仿宋" w:eastAsia="仿宋" w:cs="仿宋"/>
          <w:sz w:val="30"/>
          <w:szCs w:val="30"/>
        </w:rPr>
        <w:t>）结项（或结题）业务</w:t>
      </w:r>
    </w:p>
    <w:p w14:paraId="428EFE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firstLine="420"/>
        <w:textAlignment w:val="auto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财务系统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接收</w:t>
      </w:r>
      <w:r>
        <w:rPr>
          <w:rFonts w:hint="eastAsia" w:ascii="仿宋" w:hAnsi="仿宋" w:eastAsia="仿宋" w:cs="仿宋"/>
          <w:sz w:val="30"/>
          <w:szCs w:val="30"/>
        </w:rPr>
        <w:t>科研系统推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送的</w:t>
      </w:r>
      <w:r>
        <w:rPr>
          <w:rFonts w:hint="eastAsia" w:ascii="仿宋" w:hAnsi="仿宋" w:eastAsia="仿宋" w:cs="仿宋"/>
          <w:sz w:val="30"/>
          <w:szCs w:val="30"/>
        </w:rPr>
        <w:t>结题项目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并进行结题处理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</w:t>
      </w:r>
    </w:p>
    <w:p w14:paraId="1CE260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三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、系统总体要求</w:t>
      </w:r>
    </w:p>
    <w:p w14:paraId="3ED5C4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firstLine="600" w:firstLineChars="200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1.</w:t>
      </w:r>
      <w:r>
        <w:rPr>
          <w:rFonts w:hint="eastAsia" w:ascii="仿宋" w:hAnsi="仿宋" w:eastAsia="仿宋" w:cs="仿宋"/>
          <w:sz w:val="30"/>
          <w:szCs w:val="30"/>
        </w:rPr>
        <w:t>数据共享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及传输</w:t>
      </w:r>
    </w:p>
    <w:p w14:paraId="17B605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财务共享数据由财务系统负责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将</w:t>
      </w:r>
      <w:r>
        <w:rPr>
          <w:rFonts w:hint="eastAsia" w:ascii="仿宋" w:hAnsi="仿宋" w:eastAsia="仿宋" w:cs="仿宋"/>
          <w:sz w:val="30"/>
          <w:szCs w:val="30"/>
        </w:rPr>
        <w:t>项目执行情况推送至科研数据库，供科研系统读取使用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</w:t>
      </w:r>
      <w:r>
        <w:rPr>
          <w:rFonts w:hint="eastAsia" w:ascii="仿宋" w:hAnsi="仿宋" w:eastAsia="仿宋" w:cs="仿宋"/>
          <w:sz w:val="30"/>
          <w:szCs w:val="30"/>
        </w:rPr>
        <w:t>科研共享数据在科研数据库向财务系统共享，供财务系统读取使用。同步方式为“增量更新”，科研系统中审核通过的立项、到账数据、经费变动数据、项目结账数据增量更新到对接中间库。</w:t>
      </w:r>
    </w:p>
    <w:p w14:paraId="662605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2.</w:t>
      </w:r>
      <w:r>
        <w:rPr>
          <w:rFonts w:hint="eastAsia" w:ascii="仿宋" w:hAnsi="仿宋" w:eastAsia="仿宋" w:cs="仿宋"/>
          <w:sz w:val="30"/>
          <w:szCs w:val="30"/>
        </w:rPr>
        <w:t>基础数据统一</w:t>
      </w:r>
    </w:p>
    <w:p w14:paraId="13946E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中间数据表由科研共享数据表和财务共享数据表组成。科研额度、费用等相关指标字典必须同账务管理系统中信息保持一致。 </w:t>
      </w:r>
    </w:p>
    <w:p w14:paraId="7F79784F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Chars="0"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项目编码：财务系统项目编码与科研系统课题编号编码规则存在差异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的</w:t>
      </w:r>
      <w:r>
        <w:rPr>
          <w:rFonts w:hint="eastAsia" w:ascii="仿宋" w:hAnsi="仿宋" w:eastAsia="仿宋" w:cs="仿宋"/>
          <w:sz w:val="30"/>
          <w:szCs w:val="30"/>
        </w:rPr>
        <w:t>，要在科研系统中维护“经费卡号”并与财务系统的项目编码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规则</w:t>
      </w:r>
      <w:r>
        <w:rPr>
          <w:rFonts w:hint="eastAsia" w:ascii="仿宋" w:hAnsi="仿宋" w:eastAsia="仿宋" w:cs="仿宋"/>
          <w:sz w:val="30"/>
          <w:szCs w:val="30"/>
        </w:rPr>
        <w:t>保持一致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</w:t>
      </w:r>
    </w:p>
    <w:p w14:paraId="3F028EC0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Chars="0"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部门字典：财务与科研系统的“部门编码”如果不一致，需要由科研系统维护映射关系</w:t>
      </w:r>
    </w:p>
    <w:p w14:paraId="55E4505F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Chars="0"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预算控制：两个系统要求建立相同的预算控制模型（额度控制模板）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</w:t>
      </w:r>
    </w:p>
    <w:p w14:paraId="190AB812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Chars="0"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项目类型：科研系统在立项时要选择财务系统的项目类型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</w:t>
      </w:r>
    </w:p>
    <w:p w14:paraId="1834635E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Chars="0"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费用类别：各级管理费、课题组间接费等双方要达成一致并统一编码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</w:t>
      </w:r>
    </w:p>
    <w:p w14:paraId="65D7CC45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Chars="0" w:firstLine="60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收入入账：财务系统归纳不同类型科研的收入入账凭证模板，当科研系统推送项目字典、项目类型和入账金额时，财务系统自动生成入账凭证。</w:t>
      </w:r>
      <w:bookmarkStart w:id="0" w:name="_GoBack"/>
      <w:bookmarkEnd w:id="0"/>
    </w:p>
    <w:p w14:paraId="60A060CD">
      <w:pPr>
        <w:rPr>
          <w:rFonts w:hint="eastAsia" w:ascii="仿宋" w:hAnsi="仿宋" w:eastAsia="仿宋" w:cs="仿宋"/>
          <w:sz w:val="32"/>
          <w:szCs w:val="32"/>
        </w:rPr>
      </w:pPr>
    </w:p>
    <w:p w14:paraId="7D59013A">
      <w:pPr>
        <w:rPr>
          <w:rFonts w:hint="eastAsia" w:ascii="仿宋" w:hAnsi="仿宋" w:eastAsia="仿宋" w:cs="仿宋"/>
          <w:sz w:val="32"/>
          <w:szCs w:val="32"/>
        </w:rPr>
      </w:pPr>
    </w:p>
    <w:p w14:paraId="0E00D44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5328A28F-6425-4A73-A2F8-CC14452E0E10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B07FC6BA-BE90-4983-A8FA-1698A7676E50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BDAE109"/>
    <w:multiLevelType w:val="singleLevel"/>
    <w:tmpl w:val="BBDAE109"/>
    <w:lvl w:ilvl="0" w:tentative="0">
      <w:start w:val="2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CD3536"/>
    <w:rsid w:val="04AB4C31"/>
    <w:rsid w:val="07C26FAE"/>
    <w:rsid w:val="090221EB"/>
    <w:rsid w:val="0E2315D2"/>
    <w:rsid w:val="0F573C08"/>
    <w:rsid w:val="109A7B28"/>
    <w:rsid w:val="13AA5B2B"/>
    <w:rsid w:val="15D01BB6"/>
    <w:rsid w:val="19BC4967"/>
    <w:rsid w:val="1C5059CF"/>
    <w:rsid w:val="1DDA388D"/>
    <w:rsid w:val="1EEA15B7"/>
    <w:rsid w:val="20E410EC"/>
    <w:rsid w:val="23A97DE0"/>
    <w:rsid w:val="24FD7FDE"/>
    <w:rsid w:val="27566011"/>
    <w:rsid w:val="31D85738"/>
    <w:rsid w:val="35867372"/>
    <w:rsid w:val="3DFD17A9"/>
    <w:rsid w:val="40C0559E"/>
    <w:rsid w:val="47835CCA"/>
    <w:rsid w:val="56552F27"/>
    <w:rsid w:val="58CE6FC1"/>
    <w:rsid w:val="5D6972B8"/>
    <w:rsid w:val="5F013C4C"/>
    <w:rsid w:val="60670326"/>
    <w:rsid w:val="61F41846"/>
    <w:rsid w:val="62174A37"/>
    <w:rsid w:val="64CD2853"/>
    <w:rsid w:val="68E8689D"/>
    <w:rsid w:val="71C254BD"/>
    <w:rsid w:val="72AB6638"/>
    <w:rsid w:val="730833A3"/>
    <w:rsid w:val="76A30685"/>
    <w:rsid w:val="790E5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spacing w:line="440" w:lineRule="exact"/>
      <w:ind w:firstLine="200" w:firstLineChars="200"/>
      <w:jc w:val="center"/>
    </w:pPr>
    <w:rPr>
      <w:rFonts w:ascii="Times New Roman" w:hAnsi="Times New Roman"/>
      <w:szCs w:val="24"/>
    </w:r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paragraph" w:customStyle="1" w:styleId="7">
    <w:name w:val="图表"/>
    <w:basedOn w:val="1"/>
    <w:qFormat/>
    <w:uiPriority w:val="0"/>
    <w:pPr>
      <w:jc w:val="center"/>
    </w:pPr>
    <w:rPr>
      <w:rFonts w:ascii="Times New Roman" w:hAnsi="Times New Roman" w:eastAsia="宋体" w:cs="Times New Roman"/>
      <w:i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2522</Words>
  <Characters>2526</Characters>
  <Lines>0</Lines>
  <Paragraphs>0</Paragraphs>
  <TotalTime>5</TotalTime>
  <ScaleCrop>false</ScaleCrop>
  <LinksUpToDate>false</LinksUpToDate>
  <CharactersWithSpaces>2528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2026-05-15T09:36:00Z</dcterms:created>
  <dc:creator>Administrator</dc:creator>
  <cp:lastModifiedBy>virgo1327</cp:lastModifiedBy>
  <cp:lastPrinted>2026-06-04T01:17:00Z</cp:lastPrinted>
  <dcterms:modified xsi:type="dcterms:W3CDTF">2026-06-04T06:31:25Z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eyJoZGlkIjoiZjM0ZDljNzgzNjc5MTNjYTg5MDQ3MjE5MjY1MmIwNWYiLCJ1c2VySWQiOiIxNjcxODk3MTUifQ==</vt:lpwstr>
  </property>
  <property fmtid="{D5CDD505-2E9C-101B-9397-08002B2CF9AE}" pid="4" name="ICV">
    <vt:lpwstr>12C4BF8C4076444481E446C2AC8F8D4A_12</vt:lpwstr>
  </property>
</Properties>
</file>